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EEEEEE" w:sz="4" w:space="0"/>
        </w:pBdr>
        <w:spacing w:after="360" w:afterAutospacing="0"/>
        <w:ind w:left="0" w:firstLine="0"/>
        <w:jc w:val="center"/>
        <w:rPr>
          <w:rFonts w:ascii="微软雅黑" w:hAnsi="微软雅黑" w:eastAsia="微软雅黑" w:cs="微软雅黑"/>
          <w:i w:val="0"/>
          <w:caps w:val="0"/>
          <w:color w:val="333333"/>
          <w:spacing w:val="0"/>
          <w:sz w:val="28"/>
          <w:szCs w:val="28"/>
        </w:rPr>
      </w:pPr>
      <w:bookmarkStart w:id="0" w:name="_GoBack"/>
      <w:r>
        <w:rPr>
          <w:rFonts w:hint="eastAsia" w:ascii="微软雅黑" w:hAnsi="微软雅黑" w:eastAsia="微软雅黑" w:cs="微软雅黑"/>
          <w:i w:val="0"/>
          <w:caps w:val="0"/>
          <w:color w:val="333333"/>
          <w:spacing w:val="0"/>
          <w:sz w:val="28"/>
          <w:szCs w:val="28"/>
        </w:rPr>
        <w:t>关于办理2019年度个人所得税综合所得汇算清缴事项的公告</w:t>
      </w:r>
    </w:p>
    <w:bookmarkEnd w:id="0"/>
    <w:p>
      <w:pPr>
        <w:pStyle w:val="3"/>
        <w:keepNext w:val="0"/>
        <w:keepLines w:val="0"/>
        <w:widowControl/>
        <w:suppressLineNumbers w:val="0"/>
        <w:jc w:val="center"/>
        <w:rPr>
          <w:b w:val="0"/>
          <w:color w:val="777777"/>
          <w:sz w:val="18"/>
          <w:szCs w:val="18"/>
        </w:rPr>
      </w:pPr>
      <w:r>
        <w:rPr>
          <w:rFonts w:hint="eastAsia" w:ascii="微软雅黑" w:hAnsi="微软雅黑" w:eastAsia="微软雅黑" w:cs="微软雅黑"/>
          <w:b w:val="0"/>
          <w:i w:val="0"/>
          <w:caps w:val="0"/>
          <w:color w:val="777777"/>
          <w:spacing w:val="0"/>
          <w:sz w:val="18"/>
          <w:szCs w:val="18"/>
          <w:bdr w:val="none" w:color="auto" w:sz="0" w:space="0"/>
        </w:rPr>
        <w:t>2020-03-13</w:t>
      </w:r>
    </w:p>
    <w:p>
      <w:pPr>
        <w:pStyle w:val="3"/>
        <w:keepNext w:val="0"/>
        <w:keepLines w:val="0"/>
        <w:widowControl/>
        <w:suppressLineNumbers w:val="0"/>
        <w:spacing w:before="0" w:beforeAutospacing="0" w:after="0" w:afterAutospacing="0" w:line="360" w:lineRule="atLeast"/>
        <w:ind w:left="0" w:right="0"/>
        <w:jc w:val="center"/>
      </w:pPr>
      <w:r>
        <w:rPr>
          <w:rFonts w:hint="eastAsia" w:ascii="微软雅黑" w:hAnsi="微软雅黑" w:eastAsia="微软雅黑" w:cs="微软雅黑"/>
          <w:i w:val="0"/>
          <w:caps w:val="0"/>
          <w:color w:val="666666"/>
          <w:spacing w:val="0"/>
          <w:sz w:val="19"/>
          <w:szCs w:val="19"/>
        </w:rPr>
        <w:t>国家税务总局</w:t>
      </w:r>
    </w:p>
    <w:p>
      <w:pPr>
        <w:pStyle w:val="3"/>
        <w:keepNext w:val="0"/>
        <w:keepLines w:val="0"/>
        <w:widowControl/>
        <w:suppressLineNumbers w:val="0"/>
        <w:spacing w:before="0" w:beforeAutospacing="0" w:after="0" w:afterAutospacing="0" w:line="360" w:lineRule="atLeast"/>
        <w:ind w:left="0" w:right="0"/>
        <w:jc w:val="center"/>
      </w:pPr>
      <w:r>
        <w:rPr>
          <w:rFonts w:hint="eastAsia" w:ascii="微软雅黑" w:hAnsi="微软雅黑" w:eastAsia="微软雅黑" w:cs="微软雅黑"/>
          <w:i w:val="0"/>
          <w:caps w:val="0"/>
          <w:color w:val="666666"/>
          <w:spacing w:val="0"/>
          <w:sz w:val="19"/>
          <w:szCs w:val="19"/>
          <w:bdr w:val="none" w:color="auto" w:sz="0" w:space="0"/>
        </w:rPr>
        <w:t>关于办理2019年度个人所得税综合所得汇算清缴事项的公告</w:t>
      </w:r>
      <w:r>
        <w:rPr>
          <w:rFonts w:hint="eastAsia" w:ascii="微软雅黑" w:hAnsi="微软雅黑" w:eastAsia="微软雅黑" w:cs="微软雅黑"/>
          <w:i w:val="0"/>
          <w:caps w:val="0"/>
          <w:color w:val="666666"/>
          <w:spacing w:val="0"/>
          <w:sz w:val="19"/>
          <w:szCs w:val="19"/>
          <w:bdr w:val="none" w:color="auto" w:sz="0" w:space="0"/>
        </w:rPr>
        <w:br w:type="textWrapping"/>
      </w:r>
      <w:r>
        <w:rPr>
          <w:rFonts w:hint="eastAsia" w:ascii="微软雅黑" w:hAnsi="微软雅黑" w:eastAsia="微软雅黑" w:cs="微软雅黑"/>
          <w:i w:val="0"/>
          <w:caps w:val="0"/>
          <w:color w:val="666666"/>
          <w:spacing w:val="0"/>
          <w:sz w:val="19"/>
          <w:szCs w:val="19"/>
          <w:bdr w:val="none" w:color="auto" w:sz="0" w:space="0"/>
        </w:rPr>
        <w:br w:type="textWrapping"/>
      </w:r>
      <w:r>
        <w:rPr>
          <w:rFonts w:hint="eastAsia" w:ascii="微软雅黑" w:hAnsi="微软雅黑" w:eastAsia="微软雅黑" w:cs="微软雅黑"/>
          <w:b w:val="0"/>
          <w:i w:val="0"/>
          <w:caps w:val="0"/>
          <w:color w:val="666666"/>
          <w:spacing w:val="0"/>
          <w:sz w:val="16"/>
          <w:szCs w:val="16"/>
          <w:bdr w:val="none" w:color="auto" w:sz="0" w:space="0"/>
        </w:rPr>
        <w:t>国家税务总局公告2019年第44号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333333"/>
          <w:spacing w:val="0"/>
          <w:kern w:val="0"/>
          <w:sz w:val="19"/>
          <w:szCs w:val="19"/>
          <w:u w:val="none"/>
          <w:bdr w:val="none" w:color="auto" w:sz="0" w:space="0"/>
          <w:lang w:val="en-US" w:eastAsia="zh-CN" w:bidi="ar"/>
        </w:rPr>
        <w:fldChar w:fldCharType="begin"/>
      </w:r>
      <w:r>
        <w:rPr>
          <w:rFonts w:hint="eastAsia" w:ascii="微软雅黑" w:hAnsi="微软雅黑" w:eastAsia="微软雅黑" w:cs="微软雅黑"/>
          <w:i w:val="0"/>
          <w:caps w:val="0"/>
          <w:color w:val="333333"/>
          <w:spacing w:val="0"/>
          <w:kern w:val="0"/>
          <w:sz w:val="19"/>
          <w:szCs w:val="19"/>
          <w:u w:val="none"/>
          <w:bdr w:val="none" w:color="auto" w:sz="0" w:space="0"/>
          <w:lang w:val="en-US" w:eastAsia="zh-CN" w:bidi="ar"/>
        </w:rPr>
        <w:instrText xml:space="preserve"> HYPERLINK "http://www.chinatax.gov.cn/chinatax/n810219/n810744/n3752930/n3752974/c5142068/content.html" \t "http://www.gzdhxy.com/cwc/_blank" </w:instrText>
      </w:r>
      <w:r>
        <w:rPr>
          <w:rFonts w:hint="eastAsia" w:ascii="微软雅黑" w:hAnsi="微软雅黑" w:eastAsia="微软雅黑" w:cs="微软雅黑"/>
          <w:i w:val="0"/>
          <w:caps w:val="0"/>
          <w:color w:val="333333"/>
          <w:spacing w:val="0"/>
          <w:kern w:val="0"/>
          <w:sz w:val="19"/>
          <w:szCs w:val="19"/>
          <w:u w:val="none"/>
          <w:bdr w:val="none" w:color="auto" w:sz="0" w:space="0"/>
          <w:lang w:val="en-US" w:eastAsia="zh-CN" w:bidi="ar"/>
        </w:rPr>
        <w:fldChar w:fldCharType="separate"/>
      </w:r>
      <w:r>
        <w:rPr>
          <w:rFonts w:hint="eastAsia" w:ascii="微软雅黑" w:hAnsi="微软雅黑" w:eastAsia="微软雅黑" w:cs="微软雅黑"/>
          <w:i w:val="0"/>
          <w:caps w:val="0"/>
          <w:color w:val="333333"/>
          <w:spacing w:val="0"/>
          <w:kern w:val="0"/>
          <w:sz w:val="19"/>
          <w:szCs w:val="19"/>
          <w:u w:val="none"/>
          <w:bdr w:val="none" w:color="auto" w:sz="0" w:space="0"/>
          <w:lang w:val="en-US" w:eastAsia="zh-CN" w:bidi="ar"/>
        </w:rPr>
        <w:fldChar w:fldCharType="end"/>
      </w:r>
      <w:r>
        <w:rPr>
          <w:rFonts w:hint="eastAsia" w:ascii="微软雅黑" w:hAnsi="微软雅黑" w:eastAsia="微软雅黑" w:cs="微软雅黑"/>
          <w:i w:val="0"/>
          <w:caps w:val="0"/>
          <w:color w:val="666666"/>
          <w:spacing w:val="0"/>
          <w:kern w:val="0"/>
          <w:sz w:val="19"/>
          <w:szCs w:val="19"/>
          <w:bdr w:val="none" w:color="auto" w:sz="0" w:space="0"/>
          <w:lang w:val="en-US" w:eastAsia="zh-CN" w:bidi="ar"/>
        </w:rPr>
        <w:t>  为切实维护纳税人合法权益，进一步落实好专项附加扣除政策，合理有序建立个人所得税综合所得汇算清缴制度，根据个人所得税法及其实施条例（以下简称“税法”）和税收征收管理法及其实施细则有关规定，现就办理2019年度个人所得税综合所得汇算清缴（以下简称“年度汇算”）有关事项公告如下：</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一、2019年度汇算的内容</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依据税法规定，2019年度终了后，居民个人（以下称“纳税人”）需要汇总2019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计算本年度最终应纳税额，再减去2019年度已预缴税额，得出本年度应退或应补税额，向税务机关申报并办理退税或补税。具体计算公式如下：</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2019年度汇算应退或应补税额=[（综合所得收入额-60000元-“三险一金”等专项扣除-子女教育等专项附加扣除-依法确定的其他扣除-捐赠）×适用税率-速算扣除数]-2019年已预缴税额</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依据税法规定，2019年度汇算仅计算并结清本年度综合所得的应退或应补税款，不涉及以前或往后年度，也不涉及财产租赁等分类所得，以及纳税人按规定选择不并入综合所得计算纳税的全年一次性奖金等所得。</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二、无需办理年度汇算的纳税人</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经国务院批准，依据《财政部 税务总局关于个人所得税综合所得汇算清缴涉及有关政策问题的公告》（2019年第94号）有关规定，纳税人在2019年度已依法预缴个人所得税且符合下列情形之一的，无需办理年度汇算：</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（一）纳税人年度汇算需补税但年度综合所得收入不超过12万元的；</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（二）纳税人年度汇算需补税金额不超过400元的；</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（三）纳税人已预缴税额与年度应纳税额一致或者不申请年度汇算退税的。</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三、需要办理年度汇算的纳税人</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依据税法规定，符合下列情形之一的，纳税人需要办理年度汇算：</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一）2019年度已预缴税额大于年度应纳税额且申请退税的。包括2019年度综合所得收入额不超过6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收优惠等情形。</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（二）2019年度综合所得收入超过12万元且需要补税金额超过400元的。包括取得两处及以上综合所得，合并后适用税率提高导致已预缴税额小于年度应纳税额等情形。</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四、可享受的税前扣除</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下列未申报扣除或未足额扣除的税前扣除项目，纳税人可在年度汇算期间办理扣除或补充扣除：</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（一）纳税人及其配偶、未成年子女在2019年度发生的，符合条件的大病医疗支出；</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（二）纳税人在2019年度未申报享受或未足额享受的子女教育、继续教育、住房贷款利息或住房租金、赡养老人专项附加扣除，以及减除费用、专项扣除、依法确定的其他扣除；</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（三）纳税人在2019年度发生的符合条件的捐赠支出。</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五、办理时间</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纳税人办理2019年度汇算的时间为2020年3月1日至6月30日。在中国境内无住所的纳税人在2020年3月1日前离境的，可以在离境前办理年度汇算。</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六、办理方式</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纳税人可自主选择下列办理方式：</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（一）自行办理年度汇算。</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二）通过取得工资薪金或连续性取得劳务报酬所得的扣缴义务人代为办理。纳税人向扣缴义务人提出代办要求的，扣缴义务人应当代为办理，或者培训、辅导纳税人通过网上税务局（包括手机个人所得税APP）完成年度汇算申报和退（补）税。由扣缴义务人代为办理的，纳税人应在2020年4月30日前与扣缴义务人进行书面确认，补充提供其2019年度在本单位以外取得的综合所得收入、相关扣除、享受税收优惠等信息资料，并对所提交信息的真实性、准确性、完整性负责。</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（三）委托涉税专业服务机构或其他单位及个人（以下称“受托人”）办理，受托人需与纳税人签订授权书。</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扣缴义务人或受托人为纳税人办理年度汇算后，应当及时将办理情况告知纳税人。纳税人发现申报信息存在错误的，可以要求扣缴义务人或受托人办理更正申报，也可自行办理更正申报。</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七、办理渠道</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为便利纳税人，税务机关为纳税人提供高效、快捷的网络办税渠道。纳税人可优先通过网上税务局（包括手机个人所得税APP）办理年度汇算，税务机关将按规定为纳税人提供申报表预填服务；不方便通过上述方式办理的，也可以通过邮寄方式或到办税服务厅办理。</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选择邮寄申报的，纳税人需将申报表寄送至任职受雇单位（没有任职受雇单位的，为户籍或者经常居住地）所在省、自治区、直辖市、计划单列市税务局公告指定的税务机关。</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八、申报信息及资料留存</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纳税人办理年度汇算时，除向税务机关报送年度汇算申报表外，如需修改本人相关基础信息，新增享受扣除或者税收优惠的，还应按规定一并填报相关信息。填报的信息，纳税人需仔细核对，确保真实、准确、完整。</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纳税人以及代办年度汇算的扣缴义务人，需将年度汇算申报表以及与纳税人综合所得收入、扣除、已缴税额或税收优惠等相关资料，自年度汇算期结束之日起留存5年。</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九、接受年度汇算申报的税务机关</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按照方便就近原则，纳税人自行办理或受托人为纳税人代为办理2019年度汇算的，向纳税人任职受雇单位所在地的主管税务机关申报；有两处及以上任职受雇单位的，可自主选择向其中一处单位所在地的主管税务机关申报。纳税人没有任职受雇单位的，向其户籍所在地或者经常居住地的主管税务机关申报。</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扣缴义务人在年度汇算期内为纳税人办理年度汇算的，向扣缴义务人的主管税务机关申报。</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十、年度汇算的退税、补税</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为方便纳税人获取退税，纳税人2019年度综合所得收入额不超过6万元且已预缴个人所得税的，税务机关在网上税务局（包括手机个人所得税APP）提供便捷退税功能，纳税人可以在2020年3月1日至5月31日期间，通过简易申报表办理年度汇算退税。</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纳税人办理年度汇算补税的，可以通过网上银行、办税服务厅POS机刷卡、银行柜台、非银行支付机构等方式缴纳。</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b/>
          <w:i w:val="0"/>
          <w:caps w:val="0"/>
          <w:color w:val="666666"/>
          <w:spacing w:val="0"/>
          <w:sz w:val="19"/>
          <w:szCs w:val="19"/>
          <w:bdr w:val="none" w:color="auto" w:sz="0" w:space="0"/>
        </w:rPr>
        <w:t>十一、年度汇算服务</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热线等渠道提供涉税咨询，帮助纳税人解决办理年度汇算中的疑难问题，积极回应纳税人诉求。</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为合理有序引导纳税人办理年度汇算，避免出现扎堆拥堵，主管税务机关将分批分期通知提醒纳税人在确定的时间段内办理。纳税人如需提前或延后办理的，可与税务机关预约或通过网上税务局（包括手机个人所得税APP）在法定年度汇算期内办理。对于因年长、行动不便等独立完成年度汇算存在特殊困难的，纳税人提出申请，税务机关可提供个性化年度汇算服务。</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特此公告。</w:t>
      </w:r>
    </w:p>
    <w:p>
      <w:pPr>
        <w:pStyle w:val="3"/>
        <w:keepNext w:val="0"/>
        <w:keepLines w:val="0"/>
        <w:widowControl/>
        <w:suppressLineNumbers w:val="0"/>
        <w:spacing w:before="0" w:beforeAutospacing="0" w:after="0" w:afterAutospacing="0" w:line="360" w:lineRule="atLeast"/>
        <w:ind w:left="0" w:right="0" w:firstLine="420"/>
        <w:jc w:val="both"/>
      </w:pPr>
      <w:r>
        <w:rPr>
          <w:rFonts w:hint="eastAsia" w:ascii="微软雅黑" w:hAnsi="微软雅黑" w:eastAsia="微软雅黑" w:cs="微软雅黑"/>
          <w:i w:val="0"/>
          <w:caps w:val="0"/>
          <w:color w:val="666666"/>
          <w:spacing w:val="0"/>
          <w:sz w:val="19"/>
          <w:szCs w:val="19"/>
          <w:bdr w:val="none" w:color="auto" w:sz="0" w:space="0"/>
        </w:rPr>
        <w:t>附件：</w:t>
      </w:r>
      <w:r>
        <w:rPr>
          <w:rFonts w:hint="eastAsia" w:ascii="微软雅黑" w:hAnsi="微软雅黑" w:eastAsia="微软雅黑" w:cs="微软雅黑"/>
          <w:i w:val="0"/>
          <w:caps w:val="0"/>
          <w:color w:val="333333"/>
          <w:spacing w:val="0"/>
          <w:sz w:val="19"/>
          <w:szCs w:val="19"/>
          <w:u w:val="none"/>
          <w:bdr w:val="none" w:color="auto" w:sz="0" w:space="0"/>
        </w:rPr>
        <w:fldChar w:fldCharType="begin"/>
      </w:r>
      <w:r>
        <w:rPr>
          <w:rFonts w:hint="eastAsia" w:ascii="微软雅黑" w:hAnsi="微软雅黑" w:eastAsia="微软雅黑" w:cs="微软雅黑"/>
          <w:i w:val="0"/>
          <w:caps w:val="0"/>
          <w:color w:val="333333"/>
          <w:spacing w:val="0"/>
          <w:sz w:val="19"/>
          <w:szCs w:val="19"/>
          <w:u w:val="none"/>
          <w:bdr w:val="none" w:color="auto" w:sz="0" w:space="0"/>
        </w:rPr>
        <w:instrText xml:space="preserve"> HYPERLINK "http://www.chinatax.gov.cn/chinatax/n810219/n810744/n3752930/n3752974/c5142068/5142068/files/84f8df3537a54204828d00954931c2fc.doc" \t "http://www.gzdhxy.com/cwc/_blank" </w:instrText>
      </w:r>
      <w:r>
        <w:rPr>
          <w:rFonts w:hint="eastAsia" w:ascii="微软雅黑" w:hAnsi="微软雅黑" w:eastAsia="微软雅黑" w:cs="微软雅黑"/>
          <w:i w:val="0"/>
          <w:caps w:val="0"/>
          <w:color w:val="333333"/>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333333"/>
          <w:spacing w:val="0"/>
          <w:sz w:val="19"/>
          <w:szCs w:val="19"/>
          <w:u w:val="none"/>
          <w:bdr w:val="none" w:color="auto" w:sz="0" w:space="0"/>
        </w:rPr>
        <w:t>个人所得税税率表（综合所得适用）</w:t>
      </w:r>
      <w:r>
        <w:rPr>
          <w:rFonts w:hint="eastAsia" w:ascii="微软雅黑" w:hAnsi="微软雅黑" w:eastAsia="微软雅黑" w:cs="微软雅黑"/>
          <w:i w:val="0"/>
          <w:caps w:val="0"/>
          <w:color w:val="333333"/>
          <w:spacing w:val="0"/>
          <w:sz w:val="19"/>
          <w:szCs w:val="19"/>
          <w:u w:val="none"/>
          <w:bdr w:val="none" w:color="auto" w:sz="0" w:space="0"/>
        </w:rPr>
        <w:fldChar w:fldCharType="end"/>
      </w:r>
    </w:p>
    <w:p>
      <w:pPr>
        <w:pStyle w:val="3"/>
        <w:keepNext w:val="0"/>
        <w:keepLines w:val="0"/>
        <w:widowControl/>
        <w:suppressLineNumbers w:val="0"/>
        <w:spacing w:before="0" w:beforeAutospacing="0" w:after="0" w:afterAutospacing="0" w:line="360" w:lineRule="atLeast"/>
        <w:ind w:left="0" w:right="0" w:firstLine="420"/>
        <w:jc w:val="both"/>
      </w:pPr>
    </w:p>
    <w:p>
      <w:pPr>
        <w:pStyle w:val="3"/>
        <w:keepNext w:val="0"/>
        <w:keepLines w:val="0"/>
        <w:widowControl/>
        <w:suppressLineNumbers w:val="0"/>
        <w:spacing w:before="0" w:beforeAutospacing="0" w:after="0" w:afterAutospacing="0" w:line="360" w:lineRule="atLeast"/>
        <w:ind w:left="0" w:right="0" w:firstLine="420"/>
        <w:jc w:val="right"/>
      </w:pPr>
      <w:r>
        <w:rPr>
          <w:rFonts w:hint="eastAsia" w:ascii="微软雅黑" w:hAnsi="微软雅黑" w:eastAsia="微软雅黑" w:cs="微软雅黑"/>
          <w:i w:val="0"/>
          <w:caps w:val="0"/>
          <w:color w:val="666666"/>
          <w:spacing w:val="0"/>
          <w:sz w:val="19"/>
          <w:szCs w:val="19"/>
          <w:bdr w:val="none" w:color="auto" w:sz="0" w:space="0"/>
        </w:rPr>
        <w:t>国家税务总局</w:t>
      </w:r>
    </w:p>
    <w:p>
      <w:pPr>
        <w:pStyle w:val="3"/>
        <w:keepNext w:val="0"/>
        <w:keepLines w:val="0"/>
        <w:widowControl/>
        <w:suppressLineNumbers w:val="0"/>
        <w:spacing w:before="0" w:beforeAutospacing="0" w:after="240" w:afterAutospacing="0" w:line="360" w:lineRule="atLeast"/>
        <w:ind w:left="0" w:right="0" w:firstLine="420"/>
        <w:jc w:val="right"/>
      </w:pPr>
      <w:r>
        <w:rPr>
          <w:rFonts w:hint="eastAsia" w:ascii="微软雅黑" w:hAnsi="微软雅黑" w:eastAsia="微软雅黑" w:cs="微软雅黑"/>
          <w:i w:val="0"/>
          <w:caps w:val="0"/>
          <w:color w:val="666666"/>
          <w:spacing w:val="0"/>
          <w:sz w:val="19"/>
          <w:szCs w:val="19"/>
          <w:bdr w:val="none" w:color="auto" w:sz="0" w:space="0"/>
        </w:rPr>
        <w:t>2019年12月31日</w:t>
      </w:r>
      <w:r>
        <w:rPr>
          <w:rFonts w:hint="eastAsia" w:ascii="微软雅黑" w:hAnsi="微软雅黑" w:eastAsia="微软雅黑" w:cs="微软雅黑"/>
          <w:i w:val="0"/>
          <w:caps w:val="0"/>
          <w:color w:val="666666"/>
          <w:spacing w:val="0"/>
          <w:sz w:val="19"/>
          <w:szCs w:val="19"/>
          <w:bdr w:val="none" w:color="auto" w:sz="0" w:space="0"/>
        </w:rPr>
        <w:br w:type="textWrapping"/>
      </w:r>
    </w:p>
    <w:p>
      <w:pPr>
        <w:pStyle w:val="3"/>
        <w:keepNext w:val="0"/>
        <w:keepLines w:val="0"/>
        <w:widowControl/>
        <w:suppressLineNumbers w:val="0"/>
        <w:spacing w:before="0" w:beforeAutospacing="0" w:after="0" w:afterAutospacing="0" w:line="288" w:lineRule="atLeast"/>
        <w:ind w:left="0" w:right="0"/>
        <w:jc w:val="left"/>
      </w:pPr>
      <w:r>
        <w:rPr>
          <w:rFonts w:ascii="黑体" w:hAnsi="宋体" w:eastAsia="黑体" w:cs="黑体"/>
          <w:i w:val="0"/>
          <w:caps w:val="0"/>
          <w:color w:val="666666"/>
          <w:spacing w:val="0"/>
          <w:sz w:val="25"/>
          <w:szCs w:val="25"/>
          <w:bdr w:val="none" w:color="auto" w:sz="0" w:space="0"/>
        </w:rPr>
        <w:t>附件</w:t>
      </w:r>
    </w:p>
    <w:p>
      <w:pPr>
        <w:pStyle w:val="3"/>
        <w:keepNext w:val="0"/>
        <w:keepLines w:val="0"/>
        <w:widowControl/>
        <w:suppressLineNumbers w:val="0"/>
        <w:spacing w:before="0" w:beforeAutospacing="0" w:after="0" w:afterAutospacing="0" w:line="288" w:lineRule="atLeast"/>
        <w:ind w:left="0" w:right="0"/>
        <w:jc w:val="left"/>
      </w:pPr>
      <w:r>
        <w:rPr>
          <w:rFonts w:hint="eastAsia" w:ascii="黑体" w:hAnsi="宋体" w:eastAsia="黑体" w:cs="黑体"/>
          <w:i w:val="0"/>
          <w:caps w:val="0"/>
          <w:color w:val="666666"/>
          <w:spacing w:val="0"/>
          <w:sz w:val="25"/>
          <w:szCs w:val="25"/>
          <w:bdr w:val="none" w:color="auto" w:sz="0" w:space="0"/>
        </w:rPr>
        <w:t> </w:t>
      </w:r>
    </w:p>
    <w:p>
      <w:pPr>
        <w:pStyle w:val="3"/>
        <w:keepNext w:val="0"/>
        <w:keepLines w:val="0"/>
        <w:widowControl/>
        <w:suppressLineNumbers w:val="0"/>
        <w:spacing w:before="0" w:beforeAutospacing="0" w:after="0" w:afterAutospacing="0" w:line="288" w:lineRule="atLeast"/>
        <w:ind w:left="0" w:right="0"/>
        <w:jc w:val="center"/>
      </w:pPr>
      <w:r>
        <w:rPr>
          <w:rFonts w:hint="eastAsia" w:ascii="宋体" w:hAnsi="宋体" w:eastAsia="宋体" w:cs="宋体"/>
          <w:i w:val="0"/>
          <w:caps w:val="0"/>
          <w:color w:val="666666"/>
          <w:spacing w:val="0"/>
          <w:sz w:val="25"/>
          <w:szCs w:val="25"/>
          <w:bdr w:val="none" w:color="auto" w:sz="0" w:space="0"/>
        </w:rPr>
        <w:t>个人所得税税率表</w:t>
      </w:r>
    </w:p>
    <w:p>
      <w:pPr>
        <w:pStyle w:val="3"/>
        <w:keepNext w:val="0"/>
        <w:keepLines w:val="0"/>
        <w:widowControl/>
        <w:suppressLineNumbers w:val="0"/>
        <w:spacing w:before="0" w:beforeAutospacing="0" w:after="0" w:afterAutospacing="0" w:line="288" w:lineRule="atLeast"/>
        <w:ind w:left="0" w:right="0"/>
        <w:jc w:val="center"/>
      </w:pPr>
      <w:r>
        <w:rPr>
          <w:rFonts w:hint="eastAsia" w:ascii="宋体" w:hAnsi="宋体" w:eastAsia="宋体" w:cs="宋体"/>
          <w:i w:val="0"/>
          <w:caps w:val="0"/>
          <w:color w:val="666666"/>
          <w:spacing w:val="0"/>
          <w:sz w:val="25"/>
          <w:szCs w:val="25"/>
          <w:bdr w:val="none" w:color="auto" w:sz="0" w:space="0"/>
        </w:rPr>
        <w:t>（综合所得适用）</w:t>
      </w:r>
    </w:p>
    <w:tbl>
      <w:tblPr>
        <w:tblW w:w="6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96"/>
        <w:gridCol w:w="3168"/>
        <w:gridCol w:w="972"/>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696"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b/>
                <w:sz w:val="19"/>
                <w:szCs w:val="19"/>
              </w:rPr>
              <w:t>级数</w:t>
            </w:r>
          </w:p>
        </w:tc>
        <w:tc>
          <w:tcPr>
            <w:tcW w:w="3168"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b/>
                <w:sz w:val="19"/>
                <w:szCs w:val="19"/>
              </w:rPr>
              <w:t>全年应纳税所得额</w:t>
            </w:r>
          </w:p>
        </w:tc>
        <w:tc>
          <w:tcPr>
            <w:tcW w:w="97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b/>
                <w:sz w:val="19"/>
                <w:szCs w:val="19"/>
              </w:rPr>
              <w:t>税率（%）</w:t>
            </w:r>
          </w:p>
        </w:tc>
        <w:tc>
          <w:tcPr>
            <w:tcW w:w="1740"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b/>
                <w:sz w:val="19"/>
                <w:szCs w:val="19"/>
              </w:rPr>
              <w:t>速算扣除数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6" w:hRule="atLeast"/>
        </w:trPr>
        <w:tc>
          <w:tcPr>
            <w:tcW w:w="696"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1</w:t>
            </w:r>
          </w:p>
        </w:tc>
        <w:tc>
          <w:tcPr>
            <w:tcW w:w="316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pPr>
            <w:r>
              <w:rPr>
                <w:rFonts w:hint="eastAsia" w:ascii="宋体" w:hAnsi="宋体" w:eastAsia="宋体" w:cs="宋体"/>
                <w:sz w:val="19"/>
                <w:szCs w:val="19"/>
              </w:rPr>
              <w:t>不超过36000元的</w:t>
            </w:r>
          </w:p>
        </w:tc>
        <w:tc>
          <w:tcPr>
            <w:tcW w:w="97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3</w:t>
            </w:r>
          </w:p>
        </w:tc>
        <w:tc>
          <w:tcPr>
            <w:tcW w:w="174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 w:hRule="atLeast"/>
        </w:trPr>
        <w:tc>
          <w:tcPr>
            <w:tcW w:w="696"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2</w:t>
            </w:r>
          </w:p>
        </w:tc>
        <w:tc>
          <w:tcPr>
            <w:tcW w:w="316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pPr>
            <w:r>
              <w:rPr>
                <w:rFonts w:hint="eastAsia" w:ascii="宋体" w:hAnsi="宋体" w:eastAsia="宋体" w:cs="宋体"/>
                <w:sz w:val="19"/>
                <w:szCs w:val="19"/>
              </w:rPr>
              <w:t>超过36000元至144000元的</w:t>
            </w:r>
          </w:p>
        </w:tc>
        <w:tc>
          <w:tcPr>
            <w:tcW w:w="97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10</w:t>
            </w:r>
          </w:p>
        </w:tc>
        <w:tc>
          <w:tcPr>
            <w:tcW w:w="174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0" w:hRule="atLeast"/>
        </w:trPr>
        <w:tc>
          <w:tcPr>
            <w:tcW w:w="696"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3</w:t>
            </w:r>
          </w:p>
        </w:tc>
        <w:tc>
          <w:tcPr>
            <w:tcW w:w="316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pPr>
            <w:r>
              <w:rPr>
                <w:rFonts w:hint="eastAsia" w:ascii="宋体" w:hAnsi="宋体" w:eastAsia="宋体" w:cs="宋体"/>
                <w:sz w:val="19"/>
                <w:szCs w:val="19"/>
              </w:rPr>
              <w:t>超过144000元至300000元的</w:t>
            </w:r>
          </w:p>
        </w:tc>
        <w:tc>
          <w:tcPr>
            <w:tcW w:w="97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20</w:t>
            </w:r>
          </w:p>
        </w:tc>
        <w:tc>
          <w:tcPr>
            <w:tcW w:w="174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16920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6" w:hRule="atLeast"/>
        </w:trPr>
        <w:tc>
          <w:tcPr>
            <w:tcW w:w="696"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4</w:t>
            </w:r>
          </w:p>
        </w:tc>
        <w:tc>
          <w:tcPr>
            <w:tcW w:w="316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pPr>
            <w:r>
              <w:rPr>
                <w:rFonts w:hint="eastAsia" w:ascii="宋体" w:hAnsi="宋体" w:eastAsia="宋体" w:cs="宋体"/>
                <w:sz w:val="19"/>
                <w:szCs w:val="19"/>
              </w:rPr>
              <w:t>超过300000元至420000元的</w:t>
            </w:r>
          </w:p>
        </w:tc>
        <w:tc>
          <w:tcPr>
            <w:tcW w:w="97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25</w:t>
            </w:r>
          </w:p>
        </w:tc>
        <w:tc>
          <w:tcPr>
            <w:tcW w:w="174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31920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8" w:hRule="atLeast"/>
        </w:trPr>
        <w:tc>
          <w:tcPr>
            <w:tcW w:w="696"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5</w:t>
            </w:r>
          </w:p>
        </w:tc>
        <w:tc>
          <w:tcPr>
            <w:tcW w:w="316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pPr>
            <w:r>
              <w:rPr>
                <w:rFonts w:hint="eastAsia" w:ascii="宋体" w:hAnsi="宋体" w:eastAsia="宋体" w:cs="宋体"/>
                <w:sz w:val="19"/>
                <w:szCs w:val="19"/>
              </w:rPr>
              <w:t>超过420000元至660000元的</w:t>
            </w:r>
          </w:p>
        </w:tc>
        <w:tc>
          <w:tcPr>
            <w:tcW w:w="97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30</w:t>
            </w:r>
          </w:p>
        </w:tc>
        <w:tc>
          <w:tcPr>
            <w:tcW w:w="174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52920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04" w:hRule="atLeast"/>
        </w:trPr>
        <w:tc>
          <w:tcPr>
            <w:tcW w:w="696"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6</w:t>
            </w:r>
          </w:p>
        </w:tc>
        <w:tc>
          <w:tcPr>
            <w:tcW w:w="316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pPr>
            <w:r>
              <w:rPr>
                <w:rFonts w:hint="eastAsia" w:ascii="宋体" w:hAnsi="宋体" w:eastAsia="宋体" w:cs="宋体"/>
                <w:sz w:val="19"/>
                <w:szCs w:val="19"/>
              </w:rPr>
              <w:t>超过660000元至960000元的</w:t>
            </w:r>
          </w:p>
        </w:tc>
        <w:tc>
          <w:tcPr>
            <w:tcW w:w="97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35</w:t>
            </w:r>
          </w:p>
        </w:tc>
        <w:tc>
          <w:tcPr>
            <w:tcW w:w="174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85920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0" w:hRule="atLeast"/>
        </w:trPr>
        <w:tc>
          <w:tcPr>
            <w:tcW w:w="696"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7</w:t>
            </w:r>
          </w:p>
        </w:tc>
        <w:tc>
          <w:tcPr>
            <w:tcW w:w="316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pPr>
            <w:r>
              <w:rPr>
                <w:rFonts w:hint="eastAsia" w:ascii="宋体" w:hAnsi="宋体" w:eastAsia="宋体" w:cs="宋体"/>
                <w:sz w:val="19"/>
                <w:szCs w:val="19"/>
              </w:rPr>
              <w:t>超过960000元的</w:t>
            </w:r>
          </w:p>
        </w:tc>
        <w:tc>
          <w:tcPr>
            <w:tcW w:w="97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45</w:t>
            </w:r>
          </w:p>
        </w:tc>
        <w:tc>
          <w:tcPr>
            <w:tcW w:w="174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192" w:beforeAutospacing="0" w:after="0" w:afterAutospacing="0" w:line="252" w:lineRule="atLeast"/>
              <w:ind w:left="0" w:right="0"/>
              <w:jc w:val="center"/>
            </w:pPr>
            <w:r>
              <w:rPr>
                <w:rFonts w:hint="eastAsia" w:ascii="宋体" w:hAnsi="宋体" w:eastAsia="宋体" w:cs="宋体"/>
                <w:sz w:val="19"/>
                <w:szCs w:val="19"/>
              </w:rPr>
              <w:t>181920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C5E5E"/>
    <w:rsid w:val="2E2C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2020-04-08T06:13:00Z</dcterms:created>
  <dc:creator>Administrator</dc:creator>
  <cp:lastModifiedBy>Administrator</cp:lastModifiedBy>
  <dcterms:modified xsi:type="dcterms:W3CDTF">2020-04-08T06:34:06Z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